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58997" w14:textId="77777777" w:rsidR="00A160C0" w:rsidRDefault="00000000">
      <w:pPr>
        <w:spacing w:after="120" w:line="240" w:lineRule="auto"/>
        <w:ind w:left="48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Příloha č. 5 Smlouvy o dílo</w:t>
      </w:r>
    </w:p>
    <w:p w14:paraId="77A58998" w14:textId="3F31BCE6" w:rsidR="00A160C0" w:rsidRDefault="00000000">
      <w:pPr>
        <w:spacing w:after="120" w:line="240" w:lineRule="auto"/>
        <w:jc w:val="center"/>
        <w:rPr>
          <w:rFonts w:ascii="Tahoma" w:hAnsi="Tahoma" w:cs="Tahoma"/>
          <w:lang w:eastAsia="cs-CZ"/>
        </w:rPr>
      </w:pPr>
      <w:r>
        <w:rPr>
          <w:noProof/>
        </w:rPr>
        <w:pict w14:anchorId="3450918D">
          <v:line id="Přímá spojnice 6" o:spid="_x0000_s1026" style="position:absolute;left:0;text-align:left;z-index: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" from="0,24.65pt" to="477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" o:allowincell="f" strokecolor="#f60" strokeweight=".35mm">
            <v:stroke joinstyle="miter"/>
            <w10:wrap anchorx="margin"/>
          </v:line>
        </w:pict>
      </w:r>
      <w:r>
        <w:rPr>
          <w:rFonts w:ascii="Tahoma" w:hAnsi="Tahoma" w:cs="Tahoma"/>
          <w:lang w:eastAsia="cs-CZ"/>
        </w:rPr>
        <w:t>Požadované doklady při převzetí dokončené stavby</w:t>
      </w:r>
    </w:p>
    <w:p w14:paraId="77A58999" w14:textId="77777777" w:rsidR="00A160C0" w:rsidRDefault="00A160C0">
      <w:pPr>
        <w:rPr>
          <w:rFonts w:ascii="Tahoma" w:hAnsi="Tahoma" w:cs="Tahoma"/>
          <w:sz w:val="20"/>
          <w:szCs w:val="20"/>
        </w:rPr>
      </w:pPr>
    </w:p>
    <w:p w14:paraId="77A5899A" w14:textId="77777777" w:rsidR="00A160C0" w:rsidRDefault="00000000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Dokumentaci skutečného provedení díla ve 2 vyhotoveních v listinné formě + 1x </w:t>
      </w:r>
      <w:proofErr w:type="spellStart"/>
      <w:r>
        <w:rPr>
          <w:rFonts w:ascii="Tahoma" w:hAnsi="Tahoma" w:cs="Tahoma"/>
          <w:sz w:val="20"/>
          <w:szCs w:val="20"/>
        </w:rPr>
        <w:t>flash</w:t>
      </w:r>
      <w:proofErr w:type="spellEnd"/>
      <w:r>
        <w:rPr>
          <w:rFonts w:ascii="Tahoma" w:hAnsi="Tahoma" w:cs="Tahoma"/>
          <w:sz w:val="20"/>
          <w:szCs w:val="20"/>
        </w:rPr>
        <w:t xml:space="preserve"> disk,</w:t>
      </w:r>
    </w:p>
    <w:p w14:paraId="77A5899B" w14:textId="77777777" w:rsidR="00A160C0" w:rsidRDefault="00000000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dodavatelskou dokumentaci (dokumentaci pro prokazování požadovaných vlastností technologických dodávek) včetně návodů k obsluze 2 x papírová forma a 1 x </w:t>
      </w:r>
      <w:proofErr w:type="spellStart"/>
      <w:r>
        <w:rPr>
          <w:rFonts w:ascii="Tahoma" w:hAnsi="Tahoma" w:cs="Tahoma"/>
          <w:sz w:val="20"/>
          <w:szCs w:val="20"/>
        </w:rPr>
        <w:t>flash</w:t>
      </w:r>
      <w:proofErr w:type="spellEnd"/>
      <w:r>
        <w:rPr>
          <w:rFonts w:ascii="Tahoma" w:hAnsi="Tahoma" w:cs="Tahoma"/>
          <w:sz w:val="20"/>
          <w:szCs w:val="20"/>
        </w:rPr>
        <w:t xml:space="preserve"> disk,</w:t>
      </w:r>
    </w:p>
    <w:p w14:paraId="77A5899C" w14:textId="77777777" w:rsidR="00A160C0" w:rsidRDefault="00000000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geodetické zaměření skutečného provedení stavby (listinná a elektronická forma) ve formátu pro TAS viz. Příloha,</w:t>
      </w:r>
    </w:p>
    <w:p w14:paraId="77A5899D" w14:textId="77777777" w:rsidR="00A160C0" w:rsidRDefault="00000000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geometrický plán pro zápis věcného břemene do katastru nemovitostí – neodkladně po položení a zaměření nové trasy,</w:t>
      </w:r>
    </w:p>
    <w:p w14:paraId="77A5899E" w14:textId="77777777" w:rsidR="00A160C0" w:rsidRDefault="00000000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originál stavebního deníku,</w:t>
      </w:r>
    </w:p>
    <w:p w14:paraId="77A5899F" w14:textId="77777777" w:rsidR="00A160C0" w:rsidRPr="00CF295C" w:rsidRDefault="00000000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„</w:t>
      </w:r>
      <w:r w:rsidRPr="00CF295C">
        <w:rPr>
          <w:rFonts w:ascii="Tahoma" w:hAnsi="Tahoma" w:cs="Tahoma"/>
          <w:sz w:val="20"/>
          <w:szCs w:val="20"/>
        </w:rPr>
        <w:t>Prohlášení o shodě“ ve smyslu zákona č. 22/1997 Sb. v platném znění,</w:t>
      </w:r>
    </w:p>
    <w:p w14:paraId="088A02DE" w14:textId="77777777" w:rsidR="00904C0C" w:rsidRDefault="00000000" w:rsidP="00904C0C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 w:rsidRPr="00CF295C">
        <w:rPr>
          <w:rFonts w:ascii="Tahoma" w:hAnsi="Tahoma" w:cs="Tahoma"/>
          <w:sz w:val="20"/>
          <w:szCs w:val="20"/>
        </w:rPr>
        <w:t>prohlášení o jakosti a kompletnosti díla,</w:t>
      </w:r>
    </w:p>
    <w:p w14:paraId="1167E609" w14:textId="77777777" w:rsidR="00904C0C" w:rsidRPr="00904C0C" w:rsidRDefault="00000000" w:rsidP="00904C0C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 w:rsidRPr="00904C0C">
        <w:rPr>
          <w:rStyle w:val="Siln"/>
          <w:rFonts w:ascii="Tahoma" w:hAnsi="Tahoma"/>
          <w:b w:val="0"/>
          <w:bCs w:val="0"/>
          <w:sz w:val="20"/>
          <w:szCs w:val="20"/>
        </w:rPr>
        <w:t>Doklady o nakládání se stavebními a demoličními odpady</w:t>
      </w:r>
      <w:r w:rsidRPr="00904C0C">
        <w:rPr>
          <w:rFonts w:ascii="Tahoma" w:hAnsi="Tahoma"/>
          <w:sz w:val="20"/>
          <w:szCs w:val="20"/>
        </w:rPr>
        <w:t>: doklady prokazující předání všech vzniklých odpadů oprávněným osobám a splnění povinností původce odpadu dle zákona č. 541/2020 Sb., o odpadech, včetně prováděcích právních předpisů.</w:t>
      </w:r>
    </w:p>
    <w:p w14:paraId="77A589A2" w14:textId="010E04CD" w:rsidR="00A160C0" w:rsidRPr="00904C0C" w:rsidRDefault="00000000" w:rsidP="00904C0C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 w:rsidRPr="00904C0C">
        <w:rPr>
          <w:rStyle w:val="Siln"/>
          <w:rFonts w:ascii="Tahoma" w:hAnsi="Tahoma" w:cs="Tahoma"/>
          <w:b w:val="0"/>
          <w:bCs w:val="0"/>
          <w:sz w:val="20"/>
          <w:szCs w:val="20"/>
        </w:rPr>
        <w:t>Kovový odpad</w:t>
      </w:r>
      <w:r w:rsidRPr="00904C0C">
        <w:rPr>
          <w:rFonts w:ascii="Tahoma" w:hAnsi="Tahoma" w:cs="Tahoma"/>
          <w:sz w:val="20"/>
          <w:szCs w:val="20"/>
        </w:rPr>
        <w:t xml:space="preserve">: doklady o předání kovového odpadu v souladu s požadavky správce dotčené teplárenské infrastruktury; pro tuto zakázku se požaduje předání kovového odpadu společnosti </w:t>
      </w:r>
      <w:r w:rsidRPr="00904C0C">
        <w:rPr>
          <w:rStyle w:val="Siln"/>
          <w:rFonts w:ascii="Tahoma" w:hAnsi="Tahoma" w:cs="Tahoma"/>
          <w:b w:val="0"/>
          <w:bCs w:val="0"/>
          <w:sz w:val="20"/>
          <w:szCs w:val="20"/>
        </w:rPr>
        <w:t>KOVOŠROT GROUP a.s.</w:t>
      </w:r>
      <w:r w:rsidR="00904C0C" w:rsidRPr="00904C0C">
        <w:rPr>
          <w:rFonts w:ascii="Tahoma" w:hAnsi="Tahoma" w:cs="Tahoma"/>
          <w:sz w:val="20"/>
          <w:szCs w:val="20"/>
        </w:rPr>
        <w:t>, a</w:t>
      </w:r>
      <w:r w:rsidRPr="00904C0C">
        <w:rPr>
          <w:rFonts w:ascii="Tahoma" w:hAnsi="Tahoma" w:cs="Tahoma"/>
          <w:sz w:val="20"/>
          <w:szCs w:val="20"/>
        </w:rPr>
        <w:t xml:space="preserve"> předložení vážních lístků a potvrzení o převzetí.</w:t>
      </w:r>
    </w:p>
    <w:p w14:paraId="77A589A4" w14:textId="77777777" w:rsidR="00A160C0" w:rsidRDefault="00000000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osvědčení o jakosti použitých materiálů,</w:t>
      </w:r>
    </w:p>
    <w:p w14:paraId="77A589A5" w14:textId="77777777" w:rsidR="00A160C0" w:rsidRDefault="00000000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prohlášení Zhotovitele o dodržení vnitřní čistoty potrubí,</w:t>
      </w:r>
    </w:p>
    <w:p w14:paraId="77A589A6" w14:textId="77777777" w:rsidR="00A160C0" w:rsidRDefault="00000000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výsledky defektoskopických kontrol svarů,</w:t>
      </w:r>
    </w:p>
    <w:p w14:paraId="77A589A7" w14:textId="77777777" w:rsidR="00A160C0" w:rsidRDefault="00000000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osvědčení o způsobilosti svářečů, WPS viz. příloha metodika TAS,</w:t>
      </w:r>
    </w:p>
    <w:p w14:paraId="77A589A8" w14:textId="77777777" w:rsidR="00A160C0" w:rsidRDefault="00000000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atesty na použitý trubní a přídavný svařovací materiál,</w:t>
      </w:r>
    </w:p>
    <w:p w14:paraId="77A589A9" w14:textId="77777777" w:rsidR="00A160C0" w:rsidRDefault="00000000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protokoly o provedených zkouškách a revizích,</w:t>
      </w:r>
    </w:p>
    <w:p w14:paraId="77A589AA" w14:textId="77777777" w:rsidR="00A160C0" w:rsidRDefault="00000000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protokoly o seznámení obsluhy,</w:t>
      </w:r>
    </w:p>
    <w:p w14:paraId="77A589AB" w14:textId="77777777" w:rsidR="00A160C0" w:rsidRDefault="00000000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protokol o </w:t>
      </w:r>
      <w:proofErr w:type="spellStart"/>
      <w:r>
        <w:rPr>
          <w:rFonts w:ascii="Tahoma" w:hAnsi="Tahoma" w:cs="Tahoma"/>
          <w:sz w:val="20"/>
          <w:szCs w:val="20"/>
        </w:rPr>
        <w:t>konduktometrickém</w:t>
      </w:r>
      <w:proofErr w:type="spellEnd"/>
      <w:r>
        <w:rPr>
          <w:rFonts w:ascii="Tahoma" w:hAnsi="Tahoma" w:cs="Tahoma"/>
          <w:sz w:val="20"/>
          <w:szCs w:val="20"/>
        </w:rPr>
        <w:t xml:space="preserve"> a </w:t>
      </w:r>
      <w:proofErr w:type="spellStart"/>
      <w:r>
        <w:rPr>
          <w:rFonts w:ascii="Tahoma" w:hAnsi="Tahoma" w:cs="Tahoma"/>
          <w:sz w:val="20"/>
          <w:szCs w:val="20"/>
        </w:rPr>
        <w:t>reflektometrickém</w:t>
      </w:r>
      <w:proofErr w:type="spellEnd"/>
      <w:r>
        <w:rPr>
          <w:rFonts w:ascii="Tahoma" w:hAnsi="Tahoma" w:cs="Tahoma"/>
          <w:sz w:val="20"/>
          <w:szCs w:val="20"/>
        </w:rPr>
        <w:t xml:space="preserve"> měření AS vč. výchozích a naměřených hodnot,</w:t>
      </w:r>
    </w:p>
    <w:p w14:paraId="77A589AC" w14:textId="77777777" w:rsidR="00A160C0" w:rsidRDefault="00000000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místní dodavatelské provozní předpisy (MPP) v rozsahu pro TAS viz. příloha,</w:t>
      </w:r>
    </w:p>
    <w:p w14:paraId="77A589AD" w14:textId="77777777" w:rsidR="00A160C0" w:rsidRDefault="00000000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zápis o zpětném předání dotčených pozemků a inženýrských sítí jejich vlastníkům a/nebo správcům.</w:t>
      </w:r>
    </w:p>
    <w:p w14:paraId="77A589AE" w14:textId="77777777" w:rsidR="00A160C0" w:rsidRDefault="00A160C0">
      <w:pPr>
        <w:pStyle w:val="Odstavecseseznamem"/>
        <w:spacing w:after="120" w:line="360" w:lineRule="auto"/>
        <w:contextualSpacing w:val="0"/>
        <w:rPr>
          <w:rFonts w:ascii="Tahoma" w:hAnsi="Tahoma" w:cs="Tahoma"/>
          <w:sz w:val="20"/>
          <w:szCs w:val="20"/>
        </w:rPr>
      </w:pPr>
    </w:p>
    <w:p w14:paraId="77A589AF" w14:textId="77777777" w:rsidR="00A160C0" w:rsidRPr="00CF295C" w:rsidRDefault="00000000">
      <w:pPr>
        <w:pStyle w:val="Zkladntext"/>
      </w:pPr>
      <w:r w:rsidRPr="00CF295C">
        <w:rPr>
          <w:rFonts w:ascii="Tahoma" w:hAnsi="Tahoma" w:cs="Tahoma"/>
          <w:sz w:val="20"/>
          <w:szCs w:val="20"/>
        </w:rPr>
        <w:lastRenderedPageBreak/>
        <w:t>V případě změny právních předpisů nebo závazných požadavků správců sítí v průběhu realizace Díla je Zhotovitel povinen předat doklady odpovídající aktuálně účinné právní úpravě a aktuálním závazným požadavkům správců sítí.</w:t>
      </w:r>
    </w:p>
    <w:sectPr w:rsidR="00A160C0" w:rsidRPr="00CF295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9C1F65"/>
    <w:multiLevelType w:val="multilevel"/>
    <w:tmpl w:val="430EDB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CFC5C79"/>
    <w:multiLevelType w:val="multilevel"/>
    <w:tmpl w:val="897CE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88960975">
    <w:abstractNumId w:val="0"/>
  </w:num>
  <w:num w:numId="2" w16cid:durableId="1294677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60C0"/>
    <w:rsid w:val="001B3F43"/>
    <w:rsid w:val="001F5AB4"/>
    <w:rsid w:val="00904C0C"/>
    <w:rsid w:val="00A160C0"/>
    <w:rsid w:val="00CF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A58997"/>
  <w15:docId w15:val="{895C4EFD-A0C2-4707-8C77-8F46604A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8C0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C0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C0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C0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C0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C0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C0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C0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C0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8C0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8C0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8C0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8C030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8C030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8C030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8C030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8C030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8C0304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link w:val="Nzev"/>
    <w:uiPriority w:val="10"/>
    <w:qFormat/>
    <w:rsid w:val="008C0304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nadpisChar">
    <w:name w:val="Podnadpis Char"/>
    <w:basedOn w:val="Standardnpsmoodstavce"/>
    <w:link w:val="Podnadpis"/>
    <w:uiPriority w:val="11"/>
    <w:qFormat/>
    <w:rsid w:val="008C0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tChar">
    <w:name w:val="Citát Char"/>
    <w:basedOn w:val="Standardnpsmoodstavce"/>
    <w:link w:val="Citt"/>
    <w:uiPriority w:val="29"/>
    <w:qFormat/>
    <w:rsid w:val="008C0304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8C0304"/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sid w:val="008C030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C0304"/>
    <w:rPr>
      <w:b/>
      <w:bCs/>
      <w:smallCaps/>
      <w:color w:val="0F4761" w:themeColor="accent1" w:themeShade="BF"/>
      <w:spacing w:val="5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8C0304"/>
  </w:style>
  <w:style w:type="character" w:customStyle="1" w:styleId="ZpatChar">
    <w:name w:val="Zápatí Char"/>
    <w:basedOn w:val="Standardnpsmoodstavce"/>
    <w:link w:val="Zpat"/>
    <w:uiPriority w:val="99"/>
    <w:qFormat/>
    <w:rsid w:val="008C0304"/>
  </w:style>
  <w:style w:type="character" w:styleId="Siln">
    <w:name w:val="Strong"/>
    <w:qFormat/>
    <w:rPr>
      <w:b/>
      <w:bCs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next w:val="Normln"/>
    <w:link w:val="NzevChar"/>
    <w:uiPriority w:val="10"/>
    <w:qFormat/>
    <w:rsid w:val="008C03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C0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C0304"/>
    <w:pPr>
      <w:spacing w:before="160"/>
      <w:jc w:val="center"/>
    </w:pPr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C0304"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rsid w:val="008C0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8C0304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8C0304"/>
    <w:pPr>
      <w:tabs>
        <w:tab w:val="center" w:pos="4536"/>
        <w:tab w:val="right" w:pos="9072"/>
      </w:tabs>
      <w:spacing w:after="0" w:line="240" w:lineRule="auto"/>
    </w:p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Lacina</dc:creator>
  <dc:description/>
  <cp:lastModifiedBy>reditel</cp:lastModifiedBy>
  <cp:revision>10</cp:revision>
  <dcterms:created xsi:type="dcterms:W3CDTF">2026-02-02T12:58:00Z</dcterms:created>
  <dcterms:modified xsi:type="dcterms:W3CDTF">2026-02-04T12:12:00Z</dcterms:modified>
  <dc:language>cs-CZ</dc:language>
</cp:coreProperties>
</file>